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8A3" w:rsidRDefault="006E78A3" w:rsidP="006E78A3">
      <w:pPr>
        <w:autoSpaceDE w:val="0"/>
        <w:autoSpaceDN w:val="0"/>
        <w:adjustRightInd w:val="0"/>
        <w:jc w:val="left"/>
        <w:rPr>
          <w:rFonts w:ascii="FZFSJW--GB1-0" w:eastAsia="FZFSJW--GB1-0" w:cs="FZFSJW--GB1-0"/>
          <w:color w:val="333333"/>
          <w:kern w:val="0"/>
          <w:sz w:val="30"/>
          <w:szCs w:val="30"/>
        </w:rPr>
      </w:pPr>
      <w:r>
        <w:rPr>
          <w:rFonts w:ascii="FZFSJW--GB1-0" w:eastAsia="FZFSJW--GB1-0" w:cs="FZFSJW--GB1-0" w:hint="eastAsia"/>
          <w:color w:val="333333"/>
          <w:kern w:val="0"/>
          <w:sz w:val="30"/>
          <w:szCs w:val="30"/>
        </w:rPr>
        <w:t>附件</w:t>
      </w:r>
      <w:r w:rsidR="00F26C05">
        <w:rPr>
          <w:rFonts w:ascii="FZFSJW--GB1-0" w:eastAsia="FZFSJW--GB1-0" w:cs="FZFSJW--GB1-0"/>
          <w:color w:val="333333"/>
          <w:kern w:val="0"/>
          <w:sz w:val="30"/>
          <w:szCs w:val="30"/>
        </w:rPr>
        <w:t>3</w:t>
      </w:r>
      <w:bookmarkStart w:id="0" w:name="_GoBack"/>
      <w:bookmarkEnd w:id="0"/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8"/>
          <w:szCs w:val="28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8"/>
          <w:szCs w:val="28"/>
        </w:rPr>
        <w:t>（一）创意组、初创组、成长组、师生共创组</w:t>
      </w:r>
      <w:r>
        <w:rPr>
          <w:rFonts w:ascii="MicrosoftYaHei-Bold" w:eastAsia="MicrosoftYaHei-Bold" w:cs="MicrosoftYaHei-Bold"/>
          <w:b/>
          <w:bCs/>
          <w:color w:val="000000"/>
          <w:kern w:val="0"/>
          <w:sz w:val="28"/>
          <w:szCs w:val="28"/>
        </w:rPr>
        <w:t>-</w:t>
      </w: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8"/>
          <w:szCs w:val="28"/>
        </w:rPr>
        <w:t>评审导向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行业机会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1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：客户需求量大且持续增长（有一定的政策背景支持）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2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：客户购买行为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/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产品使用行为高频，或者产品单价较高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3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：行业未来有“垄断”可能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市场痛点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4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：产品或服务抓住的是特定人群的刚性需求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竞争格局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5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：现有解决方案或产品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/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服务存在严重不足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6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：市场竞争格局还没确定，缺乏领导品牌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7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：与竞争对手相比有明显的核心竞争优势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产品形态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8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：产品或服务涉及有一定的技术壁垒，有难度有挑战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9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：产品或服务本身有可能通过网络推广获得递增效应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10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：用户一旦购买和使用起来，要转移去使用其他品牌产品的门槛较高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商业模式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11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：已经得到验证的合格的盈利模式或数据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12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：有清晰的业务流程（上下游合作方清晰且确定）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运营现状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13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：营销策略已经得到实施和验证，且有支撑的订单数据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团队协同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lastRenderedPageBreak/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14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：团队成员能力和背景经历互补完善（学生、老师或在职群体）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战略规划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标准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15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：规划合理清晰（至少对未来</w:t>
      </w: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 xml:space="preserve">1-3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年有非常清晰的执行规划）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8"/>
          <w:szCs w:val="28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8"/>
          <w:szCs w:val="28"/>
        </w:rPr>
        <w:t>（二）青年红色筑梦之旅</w:t>
      </w:r>
      <w:r>
        <w:rPr>
          <w:rFonts w:ascii="MicrosoftYaHei-Bold" w:eastAsia="MicrosoftYaHei-Bold" w:cs="MicrosoftYaHei-Bold"/>
          <w:b/>
          <w:bCs/>
          <w:color w:val="000000"/>
          <w:kern w:val="0"/>
          <w:sz w:val="28"/>
          <w:szCs w:val="28"/>
        </w:rPr>
        <w:t>-</w:t>
      </w: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8"/>
          <w:szCs w:val="28"/>
        </w:rPr>
        <w:t>组别参赛要点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1-</w:t>
      </w: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背景描述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推动创新创业教育与思想政治教育相融合，打造一堂全国最大的思政课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走进革命老区、贫困地区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接受思想洗礼、学习革命精神、传承红色基因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助力精准扶贫和乡村振兴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2-</w:t>
      </w: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必要条件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项目必须参加“青年红色筑梦之旅”活动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ArialUnicodeMS" w:eastAsia="ArialUnicodeMS" w:cs="ArialUnicodeMS"/>
          <w:color w:val="000000"/>
          <w:kern w:val="0"/>
          <w:sz w:val="24"/>
          <w:szCs w:val="24"/>
        </w:rPr>
        <w:t>3-</w:t>
      </w: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评审要点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可选方向：教育、科技、农业、医疗、扶贫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评审要点</w:t>
      </w:r>
      <w:r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  <w:t>1</w:t>
      </w: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：实效性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对精准扶贫脱贫和乡村振兴的贡献度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对农村组织和农民增收、地方产业结构优化的促进效果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对当地就业、教育、医疗、环境保护与生态建设等方面的促进效果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</w:pP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评审要点</w:t>
      </w:r>
      <w:r>
        <w:rPr>
          <w:rFonts w:ascii="MicrosoftYaHei-Bold" w:eastAsia="MicrosoftYaHei-Bold" w:cs="MicrosoftYaHei-Bold"/>
          <w:b/>
          <w:bCs/>
          <w:color w:val="000000"/>
          <w:kern w:val="0"/>
          <w:sz w:val="24"/>
          <w:szCs w:val="24"/>
        </w:rPr>
        <w:t>2</w:t>
      </w:r>
      <w:r>
        <w:rPr>
          <w:rFonts w:ascii="MicrosoftYaHei-Bold" w:eastAsia="MicrosoftYaHei-Bold" w:cs="MicrosoftYaHei-Bold" w:hint="eastAsia"/>
          <w:b/>
          <w:bCs/>
          <w:color w:val="000000"/>
          <w:kern w:val="0"/>
          <w:sz w:val="24"/>
          <w:szCs w:val="24"/>
        </w:rPr>
        <w:t>：可持续性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持续生存能力和推广性（存续时间、自造血能力、市场份额等）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业务成长的计划和可能性</w:t>
      </w:r>
    </w:p>
    <w:p w:rsidR="006E78A3" w:rsidRDefault="006E78A3" w:rsidP="006E78A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  <w:r>
        <w:rPr>
          <w:rFonts w:ascii="宋体" w:eastAsia="宋体" w:cs="宋体" w:hint="eastAsia"/>
          <w:color w:val="000000"/>
          <w:kern w:val="0"/>
          <w:sz w:val="24"/>
          <w:szCs w:val="24"/>
        </w:rPr>
        <w:t>（包括人力资源、资金、技术等方面支持其未来持续稳健增长）</w:t>
      </w:r>
    </w:p>
    <w:p w:rsidR="00FA5A8A" w:rsidRDefault="006E78A3" w:rsidP="006E78A3">
      <w:r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  <w:t></w:t>
      </w:r>
      <w:r>
        <w:rPr>
          <w:rFonts w:ascii="Wingdings-Regular" w:eastAsia="Wingdings-Regular" w:cs="Wingdings-Regular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4"/>
          <w:szCs w:val="24"/>
        </w:rPr>
        <w:t>在精准扶贫和乡村振兴方面形成的模式具有可复制的推广性</w:t>
      </w:r>
    </w:p>
    <w:sectPr w:rsidR="00FA5A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1C8" w:rsidRDefault="00FF11C8" w:rsidP="006E78A3">
      <w:r>
        <w:separator/>
      </w:r>
    </w:p>
  </w:endnote>
  <w:endnote w:type="continuationSeparator" w:id="0">
    <w:p w:rsidR="00FF11C8" w:rsidRDefault="00FF11C8" w:rsidP="006E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FSJW--GB1-0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icrosoftYaHei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UnicodeMS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1C8" w:rsidRDefault="00FF11C8" w:rsidP="006E78A3">
      <w:r>
        <w:separator/>
      </w:r>
    </w:p>
  </w:footnote>
  <w:footnote w:type="continuationSeparator" w:id="0">
    <w:p w:rsidR="00FF11C8" w:rsidRDefault="00FF11C8" w:rsidP="006E7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78A3"/>
    <w:rsid w:val="006E78A3"/>
    <w:rsid w:val="00F26C05"/>
    <w:rsid w:val="00FA5A8A"/>
    <w:rsid w:val="00FF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F819BB"/>
  <w15:docId w15:val="{14BAEF14-D2B3-41B6-B85C-681D5B87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78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7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78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713</Characters>
  <Application>Microsoft Office Word</Application>
  <DocSecurity>0</DocSecurity>
  <Lines>5</Lines>
  <Paragraphs>1</Paragraphs>
  <ScaleCrop>false</ScaleCrop>
  <Company>China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张涛</cp:lastModifiedBy>
  <cp:revision>3</cp:revision>
  <dcterms:created xsi:type="dcterms:W3CDTF">2019-04-02T03:54:00Z</dcterms:created>
  <dcterms:modified xsi:type="dcterms:W3CDTF">2019-05-29T01:29:00Z</dcterms:modified>
</cp:coreProperties>
</file>