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8B" w:rsidRPr="00C67F85" w:rsidRDefault="00BC790C" w:rsidP="00C67F85">
      <w:pPr>
        <w:jc w:val="center"/>
        <w:rPr>
          <w:rFonts w:ascii="方正小标宋简体" w:eastAsia="方正小标宋简体"/>
          <w:sz w:val="44"/>
          <w:szCs w:val="44"/>
        </w:rPr>
      </w:pPr>
      <w:r w:rsidRPr="00C67F85">
        <w:rPr>
          <w:rFonts w:ascii="方正小标宋简体" w:eastAsia="方正小标宋简体" w:hint="eastAsia"/>
          <w:sz w:val="44"/>
          <w:szCs w:val="44"/>
        </w:rPr>
        <w:t>内江师范学院</w:t>
      </w:r>
      <w:r w:rsidR="00EC1B2A" w:rsidRPr="00EC1B2A">
        <w:rPr>
          <w:rFonts w:ascii="方正小标宋简体" w:eastAsia="方正小标宋简体" w:hint="eastAsia"/>
          <w:sz w:val="44"/>
          <w:szCs w:val="44"/>
        </w:rPr>
        <w:t>优秀教学教研团队</w:t>
      </w:r>
      <w:r w:rsidR="0052585D">
        <w:rPr>
          <w:rFonts w:ascii="方正小标宋简体" w:eastAsia="方正小标宋简体" w:hint="eastAsia"/>
          <w:sz w:val="44"/>
          <w:szCs w:val="44"/>
        </w:rPr>
        <w:t>评选</w:t>
      </w:r>
      <w:r w:rsidRPr="00C67F85">
        <w:rPr>
          <w:rFonts w:ascii="方正小标宋简体" w:eastAsia="方正小标宋简体" w:hint="eastAsia"/>
          <w:sz w:val="44"/>
          <w:szCs w:val="44"/>
        </w:rPr>
        <w:t>办法</w:t>
      </w:r>
      <w:r w:rsidR="00111578" w:rsidRPr="00111578">
        <w:rPr>
          <w:rFonts w:ascii="方正小标宋简体" w:eastAsia="方正小标宋简体" w:hint="eastAsia"/>
          <w:sz w:val="44"/>
          <w:szCs w:val="44"/>
        </w:rPr>
        <w:t>（试行）</w:t>
      </w:r>
      <w:bookmarkStart w:id="0" w:name="_GoBack"/>
      <w:bookmarkEnd w:id="0"/>
    </w:p>
    <w:p w:rsidR="00FC0A54" w:rsidRDefault="00FC0A54"/>
    <w:p w:rsidR="00C67F85" w:rsidRDefault="00FC0A54" w:rsidP="00C67F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F85">
        <w:rPr>
          <w:rFonts w:ascii="仿宋_GB2312" w:eastAsia="仿宋_GB2312" w:hint="eastAsia"/>
          <w:sz w:val="32"/>
          <w:szCs w:val="32"/>
        </w:rPr>
        <w:t>为表彰学校</w:t>
      </w:r>
      <w:r w:rsidR="002F2E7A" w:rsidRPr="002F2E7A">
        <w:rPr>
          <w:rFonts w:ascii="仿宋_GB2312" w:eastAsia="仿宋_GB2312" w:hint="eastAsia"/>
          <w:sz w:val="32"/>
          <w:szCs w:val="32"/>
        </w:rPr>
        <w:t>师德高尚的</w:t>
      </w:r>
      <w:r w:rsidR="0052585D">
        <w:rPr>
          <w:rFonts w:ascii="仿宋_GB2312" w:eastAsia="仿宋_GB2312" w:hint="eastAsia"/>
          <w:sz w:val="32"/>
          <w:szCs w:val="32"/>
        </w:rPr>
        <w:t>一线教师</w:t>
      </w:r>
      <w:r w:rsidRPr="00C67F85">
        <w:rPr>
          <w:rFonts w:ascii="仿宋_GB2312" w:eastAsia="仿宋_GB2312" w:hint="eastAsia"/>
          <w:sz w:val="32"/>
          <w:szCs w:val="32"/>
        </w:rPr>
        <w:t>在</w:t>
      </w:r>
      <w:r w:rsidR="0052585D">
        <w:rPr>
          <w:rFonts w:ascii="仿宋_GB2312" w:eastAsia="仿宋_GB2312" w:hint="eastAsia"/>
          <w:sz w:val="32"/>
          <w:szCs w:val="32"/>
        </w:rPr>
        <w:t>教学</w:t>
      </w:r>
      <w:r w:rsidRPr="00C67F85">
        <w:rPr>
          <w:rFonts w:ascii="仿宋_GB2312" w:eastAsia="仿宋_GB2312" w:hint="eastAsia"/>
          <w:sz w:val="32"/>
          <w:szCs w:val="32"/>
        </w:rPr>
        <w:t>工作中的突出贡献，学校决定开展</w:t>
      </w:r>
      <w:r w:rsidR="00CD77E0" w:rsidRPr="00CD77E0">
        <w:rPr>
          <w:rFonts w:ascii="仿宋_GB2312" w:eastAsia="仿宋_GB2312" w:hint="eastAsia"/>
          <w:sz w:val="32"/>
          <w:szCs w:val="32"/>
        </w:rPr>
        <w:t>优秀教学教研团队</w:t>
      </w:r>
      <w:r w:rsidRPr="00C67F85">
        <w:rPr>
          <w:rFonts w:ascii="仿宋_GB2312" w:eastAsia="仿宋_GB2312" w:hint="eastAsia"/>
          <w:sz w:val="32"/>
          <w:szCs w:val="32"/>
        </w:rPr>
        <w:t>评选活动，特制订本</w:t>
      </w:r>
      <w:r w:rsidR="001830CD">
        <w:rPr>
          <w:rFonts w:ascii="仿宋_GB2312" w:eastAsia="仿宋_GB2312" w:hint="eastAsia"/>
          <w:sz w:val="32"/>
          <w:szCs w:val="32"/>
        </w:rPr>
        <w:t>评选</w:t>
      </w:r>
      <w:r w:rsidRPr="00C67F85">
        <w:rPr>
          <w:rFonts w:ascii="仿宋_GB2312" w:eastAsia="仿宋_GB2312" w:hint="eastAsia"/>
          <w:sz w:val="32"/>
          <w:szCs w:val="32"/>
        </w:rPr>
        <w:t>办法</w:t>
      </w:r>
      <w:r w:rsidR="00F122D2" w:rsidRPr="00C67F85">
        <w:rPr>
          <w:rFonts w:ascii="仿宋_GB2312" w:eastAsia="仿宋_GB2312" w:hint="eastAsia"/>
          <w:sz w:val="32"/>
          <w:szCs w:val="32"/>
        </w:rPr>
        <w:t>。</w:t>
      </w:r>
    </w:p>
    <w:p w:rsidR="0041419A" w:rsidRDefault="00C67F85" w:rsidP="00C67F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67F85">
        <w:rPr>
          <w:rFonts w:ascii="仿宋_GB2312" w:eastAsia="仿宋_GB2312" w:hint="eastAsia"/>
          <w:sz w:val="32"/>
          <w:szCs w:val="32"/>
        </w:rPr>
        <w:t>一、</w:t>
      </w:r>
      <w:r w:rsidR="00CC70D3" w:rsidRPr="00C67F85">
        <w:rPr>
          <w:rFonts w:ascii="仿宋_GB2312" w:eastAsia="仿宋_GB2312" w:hint="eastAsia"/>
          <w:sz w:val="32"/>
          <w:szCs w:val="32"/>
        </w:rPr>
        <w:t>评选范围</w:t>
      </w:r>
    </w:p>
    <w:p w:rsidR="00675700" w:rsidRPr="0053005A" w:rsidRDefault="002F2E7A" w:rsidP="00C67F8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2E7A">
        <w:rPr>
          <w:rFonts w:ascii="仿宋_GB2312" w:eastAsia="仿宋_GB2312" w:hint="eastAsia"/>
          <w:sz w:val="32"/>
          <w:szCs w:val="32"/>
        </w:rPr>
        <w:t>以教研室（实验室）为建设单位或校级及以上教研项目为载体的教研团队。</w:t>
      </w:r>
    </w:p>
    <w:p w:rsidR="0041419A" w:rsidRDefault="0099624A" w:rsidP="000445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41419A">
        <w:rPr>
          <w:rFonts w:ascii="仿宋_GB2312" w:eastAsia="仿宋_GB2312" w:hint="eastAsia"/>
          <w:sz w:val="32"/>
          <w:szCs w:val="32"/>
        </w:rPr>
        <w:t>、评选条件</w:t>
      </w:r>
      <w:r w:rsidR="00A53CBB">
        <w:rPr>
          <w:rFonts w:ascii="仿宋_GB2312" w:eastAsia="仿宋_GB2312" w:hint="eastAsia"/>
          <w:sz w:val="32"/>
          <w:szCs w:val="32"/>
        </w:rPr>
        <w:t>和办法</w:t>
      </w:r>
    </w:p>
    <w:p w:rsidR="00CD77E0" w:rsidRDefault="00CD77E0" w:rsidP="000445C4">
      <w:pPr>
        <w:ind w:firstLineChars="200" w:firstLine="640"/>
        <w:rPr>
          <w:rFonts w:ascii="宋体" w:eastAsia="仿宋" w:hAnsi="宋体" w:cs="宋体"/>
          <w:color w:val="333333"/>
          <w:sz w:val="28"/>
          <w:szCs w:val="21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350ABE" w:rsidRPr="00350ABE">
        <w:rPr>
          <w:rFonts w:ascii="仿宋_GB2312" w:eastAsia="仿宋_GB2312" w:hint="eastAsia"/>
          <w:sz w:val="32"/>
          <w:szCs w:val="32"/>
        </w:rPr>
        <w:t>教学教研团队负责人评价</w:t>
      </w:r>
    </w:p>
    <w:p w:rsidR="00CD77E0" w:rsidRPr="00CD77E0" w:rsidRDefault="00B34244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4244">
        <w:rPr>
          <w:rFonts w:ascii="仿宋_GB2312" w:eastAsia="仿宋_GB2312" w:hint="eastAsia"/>
          <w:sz w:val="32"/>
          <w:szCs w:val="32"/>
        </w:rPr>
        <w:t>教学教研</w:t>
      </w:r>
      <w:r w:rsidRPr="00B34244">
        <w:rPr>
          <w:rFonts w:ascii="仿宋_GB2312" w:eastAsia="仿宋_GB2312"/>
          <w:sz w:val="32"/>
          <w:szCs w:val="32"/>
        </w:rPr>
        <w:t>团队成员</w:t>
      </w:r>
      <w:r>
        <w:rPr>
          <w:rFonts w:ascii="仿宋_GB2312" w:eastAsia="仿宋_GB2312" w:hint="eastAsia"/>
          <w:sz w:val="32"/>
          <w:szCs w:val="32"/>
        </w:rPr>
        <w:t>须</w:t>
      </w:r>
      <w:r w:rsidRPr="00B34244">
        <w:rPr>
          <w:rFonts w:ascii="仿宋_GB2312" w:eastAsia="仿宋_GB2312"/>
          <w:sz w:val="32"/>
          <w:szCs w:val="32"/>
        </w:rPr>
        <w:t>师德高尚，无教学责任事故和学术不</w:t>
      </w:r>
      <w:r w:rsidRPr="00B34244">
        <w:rPr>
          <w:rFonts w:ascii="仿宋_GB2312" w:eastAsia="仿宋_GB2312" w:hint="eastAsia"/>
          <w:sz w:val="32"/>
          <w:szCs w:val="32"/>
        </w:rPr>
        <w:t>端行为。</w:t>
      </w:r>
      <w:r w:rsidR="00CD77E0" w:rsidRPr="00CD77E0">
        <w:rPr>
          <w:rFonts w:ascii="仿宋_GB2312" w:eastAsia="仿宋_GB2312" w:hint="eastAsia"/>
          <w:sz w:val="32"/>
          <w:szCs w:val="32"/>
        </w:rPr>
        <w:t>教学教研团队负责人必须满足下列条件的1、2、3条，同时满足条件4—8中的任意一条作为评选优秀教学教研团队的基础条件。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1.具有高级专业技术职务。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2.每学年至少独立主讲（主持）1门本科专业课程或实验（实训）。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3.近4年教学质量评价（含学生评教和督导评教）居全校前30%。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4.近4年主持过至少1项省级及以上教研项目，且以第一作者在中文核心期刊发表1篇以上教改教研论文。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lastRenderedPageBreak/>
        <w:t>5.近4年获得过校级及以上教学成果奖。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6.近4年内在重点出版社公开出版教材1部。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P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7.近4年指导学生获得省级学科竞赛及以上奖励。</w:t>
      </w:r>
      <w:r w:rsidRPr="00CD77E0">
        <w:rPr>
          <w:rFonts w:ascii="仿宋_GB2312" w:eastAsia="仿宋_GB2312" w:hint="eastAsia"/>
          <w:sz w:val="32"/>
          <w:szCs w:val="32"/>
        </w:rPr>
        <w:t> </w:t>
      </w:r>
    </w:p>
    <w:p w:rsidR="00CD77E0" w:rsidRDefault="00CD77E0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D77E0">
        <w:rPr>
          <w:rFonts w:ascii="仿宋_GB2312" w:eastAsia="仿宋_GB2312" w:hint="eastAsia"/>
          <w:sz w:val="32"/>
          <w:szCs w:val="32"/>
        </w:rPr>
        <w:t>8.近4年获得校级“教学十佳”或教学名师、教学能手等荣誉。</w:t>
      </w:r>
    </w:p>
    <w:p w:rsidR="00190DA3" w:rsidRDefault="00190DA3" w:rsidP="00CD77E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90DA3">
        <w:rPr>
          <w:rFonts w:ascii="仿宋_GB2312" w:eastAsia="仿宋_GB2312" w:hint="eastAsia"/>
          <w:sz w:val="32"/>
          <w:szCs w:val="32"/>
        </w:rPr>
        <w:t>教学教研团队整体评价</w:t>
      </w:r>
    </w:p>
    <w:p w:rsidR="00190DA3" w:rsidRPr="00190DA3" w:rsidRDefault="00190DA3" w:rsidP="002F2E7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90DA3">
        <w:rPr>
          <w:rFonts w:ascii="仿宋_GB2312" w:eastAsia="仿宋_GB2312" w:hint="eastAsia"/>
          <w:sz w:val="32"/>
          <w:szCs w:val="32"/>
        </w:rPr>
        <w:t>教学教研团队评价指标体系</w:t>
      </w:r>
      <w:r w:rsidR="002F2E7A">
        <w:rPr>
          <w:rFonts w:ascii="仿宋_GB2312" w:eastAsia="仿宋_GB2312" w:hint="eastAsia"/>
          <w:sz w:val="32"/>
          <w:szCs w:val="32"/>
        </w:rPr>
        <w:t>附后。</w:t>
      </w:r>
    </w:p>
    <w:p w:rsidR="00B63668" w:rsidRPr="00B63668" w:rsidRDefault="0099624A" w:rsidP="00B636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B63668" w:rsidRPr="00B63668">
        <w:rPr>
          <w:rFonts w:ascii="仿宋_GB2312" w:eastAsia="仿宋_GB2312" w:hint="eastAsia"/>
          <w:sz w:val="32"/>
          <w:szCs w:val="32"/>
        </w:rPr>
        <w:t>、</w:t>
      </w:r>
      <w:r w:rsidR="00B63668">
        <w:rPr>
          <w:rFonts w:ascii="仿宋_GB2312" w:eastAsia="仿宋_GB2312" w:hint="eastAsia"/>
          <w:sz w:val="32"/>
          <w:szCs w:val="32"/>
        </w:rPr>
        <w:t>评选</w:t>
      </w:r>
      <w:r w:rsidR="00B63668" w:rsidRPr="00B63668">
        <w:rPr>
          <w:rFonts w:ascii="仿宋_GB2312" w:eastAsia="仿宋_GB2312" w:hint="eastAsia"/>
          <w:sz w:val="32"/>
          <w:szCs w:val="32"/>
        </w:rPr>
        <w:t>程序</w:t>
      </w:r>
    </w:p>
    <w:p w:rsidR="002F0CF1" w:rsidRDefault="00B63668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（一）</w:t>
      </w:r>
      <w:r w:rsidR="00350ABE" w:rsidRPr="00350ABE">
        <w:rPr>
          <w:rFonts w:ascii="仿宋_GB2312" w:eastAsia="仿宋_GB2312" w:hint="eastAsia"/>
          <w:sz w:val="32"/>
          <w:szCs w:val="32"/>
        </w:rPr>
        <w:t>以学院为单位组织申报，经二级学院（部）遴选后报教务处，并提供支撑材料。</w:t>
      </w:r>
    </w:p>
    <w:p w:rsidR="002F0CF1" w:rsidRPr="002F0CF1" w:rsidRDefault="002F0CF1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350ABE" w:rsidRPr="00350ABE">
        <w:rPr>
          <w:rFonts w:ascii="仿宋_GB2312" w:eastAsia="仿宋_GB2312" w:hint="eastAsia"/>
          <w:sz w:val="32"/>
          <w:szCs w:val="32"/>
        </w:rPr>
        <w:t>教务处负责资格审查</w:t>
      </w:r>
      <w:r w:rsidR="00350ABE">
        <w:rPr>
          <w:rFonts w:ascii="仿宋_GB2312" w:eastAsia="仿宋_GB2312" w:hint="eastAsia"/>
          <w:sz w:val="32"/>
          <w:szCs w:val="32"/>
        </w:rPr>
        <w:t>并组织</w:t>
      </w:r>
      <w:r w:rsidR="00350ABE" w:rsidRPr="00350ABE">
        <w:rPr>
          <w:rFonts w:ascii="仿宋_GB2312" w:eastAsia="仿宋_GB2312" w:hint="eastAsia"/>
          <w:sz w:val="32"/>
          <w:szCs w:val="32"/>
        </w:rPr>
        <w:t>评审</w:t>
      </w:r>
      <w:r w:rsidR="00350ABE">
        <w:rPr>
          <w:rFonts w:ascii="仿宋_GB2312" w:eastAsia="仿宋_GB2312" w:hint="eastAsia"/>
          <w:sz w:val="32"/>
          <w:szCs w:val="32"/>
        </w:rPr>
        <w:t>。</w:t>
      </w:r>
    </w:p>
    <w:p w:rsidR="00B63668" w:rsidRDefault="002F0CF1" w:rsidP="002F0C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2F0CF1">
        <w:rPr>
          <w:rFonts w:ascii="仿宋_GB2312" w:eastAsia="仿宋_GB2312" w:hint="eastAsia"/>
          <w:sz w:val="32"/>
          <w:szCs w:val="32"/>
        </w:rPr>
        <w:t>公示无异议，报校长办公会审定。</w:t>
      </w:r>
    </w:p>
    <w:p w:rsidR="00581F2F" w:rsidRDefault="001354F2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81F2F">
        <w:rPr>
          <w:rFonts w:ascii="仿宋_GB2312" w:eastAsia="仿宋_GB2312" w:hint="eastAsia"/>
          <w:sz w:val="32"/>
          <w:szCs w:val="32"/>
        </w:rPr>
        <w:t>、</w:t>
      </w:r>
      <w:r w:rsidR="00F50ACD">
        <w:rPr>
          <w:rFonts w:ascii="仿宋_GB2312" w:eastAsia="仿宋_GB2312" w:hint="eastAsia"/>
          <w:sz w:val="32"/>
          <w:szCs w:val="32"/>
        </w:rPr>
        <w:t>评选</w:t>
      </w:r>
      <w:r w:rsidR="00581F2F">
        <w:rPr>
          <w:rFonts w:ascii="仿宋_GB2312" w:eastAsia="仿宋_GB2312" w:hint="eastAsia"/>
          <w:sz w:val="32"/>
          <w:szCs w:val="32"/>
        </w:rPr>
        <w:t>方式</w:t>
      </w:r>
    </w:p>
    <w:p w:rsidR="00581F2F" w:rsidRDefault="00581F2F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（一）学校</w:t>
      </w:r>
      <w:r w:rsidR="00F50ACD">
        <w:rPr>
          <w:rFonts w:ascii="仿宋_GB2312" w:eastAsia="仿宋_GB2312" w:hint="eastAsia"/>
          <w:sz w:val="32"/>
          <w:szCs w:val="32"/>
        </w:rPr>
        <w:t>每</w:t>
      </w:r>
      <w:r w:rsidR="0067111A">
        <w:rPr>
          <w:rFonts w:ascii="仿宋_GB2312" w:eastAsia="仿宋_GB2312" w:hint="eastAsia"/>
          <w:sz w:val="32"/>
          <w:szCs w:val="32"/>
        </w:rPr>
        <w:t>2</w:t>
      </w:r>
      <w:r w:rsidR="00F50ACD">
        <w:rPr>
          <w:rFonts w:ascii="仿宋_GB2312" w:eastAsia="仿宋_GB2312" w:hint="eastAsia"/>
          <w:sz w:val="32"/>
          <w:szCs w:val="32"/>
        </w:rPr>
        <w:t>年评选</w:t>
      </w:r>
      <w:r w:rsidR="0041419A">
        <w:rPr>
          <w:rFonts w:ascii="仿宋_GB2312" w:eastAsia="仿宋_GB2312" w:hint="eastAsia"/>
          <w:sz w:val="32"/>
          <w:szCs w:val="32"/>
        </w:rPr>
        <w:t>1</w:t>
      </w:r>
      <w:r w:rsidR="00425A02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50ACD" w:rsidRDefault="00F50ACD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（二）每次评选名额</w:t>
      </w:r>
      <w:r w:rsidR="0067111A">
        <w:rPr>
          <w:rFonts w:ascii="仿宋_GB2312" w:eastAsia="仿宋_GB2312" w:hint="eastAsia"/>
          <w:sz w:val="32"/>
          <w:szCs w:val="32"/>
        </w:rPr>
        <w:t>为</w:t>
      </w:r>
      <w:r w:rsidR="004146AB">
        <w:rPr>
          <w:rFonts w:ascii="仿宋_GB2312" w:eastAsia="仿宋_GB2312" w:hint="eastAsia"/>
          <w:sz w:val="32"/>
          <w:szCs w:val="32"/>
        </w:rPr>
        <w:t>1</w:t>
      </w:r>
      <w:r w:rsidR="00350ABE">
        <w:rPr>
          <w:rFonts w:ascii="仿宋_GB2312" w:eastAsia="仿宋_GB2312" w:hint="eastAsia"/>
          <w:sz w:val="32"/>
          <w:szCs w:val="32"/>
        </w:rPr>
        <w:t>-</w:t>
      </w:r>
      <w:r w:rsidR="004146AB">
        <w:rPr>
          <w:rFonts w:ascii="仿宋_GB2312" w:eastAsia="仿宋_GB2312"/>
          <w:sz w:val="32"/>
          <w:szCs w:val="32"/>
        </w:rPr>
        <w:t>5</w:t>
      </w:r>
      <w:r w:rsidR="00350ABE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50ACD" w:rsidRDefault="001354F2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F50ACD">
        <w:rPr>
          <w:rFonts w:ascii="仿宋_GB2312" w:eastAsia="仿宋_GB2312" w:hint="eastAsia"/>
          <w:sz w:val="32"/>
          <w:szCs w:val="32"/>
        </w:rPr>
        <w:t>、表彰方式</w:t>
      </w:r>
    </w:p>
    <w:p w:rsidR="00F50ACD" w:rsidRDefault="00F50ACD" w:rsidP="00581F2F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（一）学校</w:t>
      </w:r>
      <w:r w:rsidR="00DC3661" w:rsidRPr="00DC3661">
        <w:rPr>
          <w:rFonts w:ascii="仿宋_GB2312" w:eastAsia="仿宋_GB2312" w:hint="eastAsia"/>
          <w:sz w:val="32"/>
          <w:szCs w:val="32"/>
        </w:rPr>
        <w:t>在全校教职工大会</w:t>
      </w:r>
      <w:r>
        <w:rPr>
          <w:rFonts w:ascii="仿宋_GB2312" w:eastAsia="仿宋_GB2312" w:hint="eastAsia"/>
          <w:sz w:val="32"/>
          <w:szCs w:val="32"/>
        </w:rPr>
        <w:t>进行表彰。</w:t>
      </w:r>
    </w:p>
    <w:p w:rsidR="002F2E7A" w:rsidRDefault="00F50ACD" w:rsidP="0053005A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7111A">
        <w:rPr>
          <w:rFonts w:ascii="仿宋_GB2312" w:eastAsia="仿宋_GB2312" w:hint="eastAsia"/>
          <w:sz w:val="32"/>
          <w:szCs w:val="32"/>
        </w:rPr>
        <w:t>一次性奖励</w:t>
      </w:r>
      <w:r w:rsidR="004146AB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万元</w:t>
      </w:r>
      <w:r w:rsidR="00DC3661">
        <w:rPr>
          <w:rFonts w:ascii="仿宋_GB2312" w:eastAsia="仿宋_GB2312" w:hint="eastAsia"/>
          <w:sz w:val="32"/>
          <w:szCs w:val="32"/>
        </w:rPr>
        <w:t>（税前）</w:t>
      </w:r>
      <w:r w:rsidR="0041419A" w:rsidRPr="0041419A">
        <w:rPr>
          <w:rFonts w:ascii="仿宋_GB2312" w:eastAsia="仿宋_GB2312" w:hint="eastAsia"/>
          <w:sz w:val="32"/>
          <w:szCs w:val="32"/>
        </w:rPr>
        <w:t>。</w:t>
      </w:r>
    </w:p>
    <w:p w:rsidR="002F2E7A" w:rsidRDefault="002F2E7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a7"/>
        <w:tblpPr w:leftFromText="180" w:rightFromText="180" w:vertAnchor="page" w:horzAnchor="margin" w:tblpY="2251"/>
        <w:tblW w:w="8522" w:type="dxa"/>
        <w:tblLayout w:type="fixed"/>
        <w:tblLook w:val="0600" w:firstRow="0" w:lastRow="0" w:firstColumn="0" w:lastColumn="0" w:noHBand="1" w:noVBand="1"/>
      </w:tblPr>
      <w:tblGrid>
        <w:gridCol w:w="1129"/>
        <w:gridCol w:w="1701"/>
        <w:gridCol w:w="3402"/>
        <w:gridCol w:w="2290"/>
      </w:tblGrid>
      <w:tr w:rsidR="00C01DF5" w:rsidRPr="00E13092" w:rsidTr="00C01DF5">
        <w:trPr>
          <w:trHeight w:hRule="exact" w:val="454"/>
        </w:trPr>
        <w:tc>
          <w:tcPr>
            <w:tcW w:w="1129" w:type="dxa"/>
            <w:vAlign w:val="center"/>
          </w:tcPr>
          <w:p w:rsidR="00C01DF5" w:rsidRPr="00190DA3" w:rsidRDefault="00C01DF5" w:rsidP="00C01DF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4"/>
              </w:rPr>
            </w:pPr>
            <w:r w:rsidRPr="00190DA3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szCs w:val="24"/>
              </w:rPr>
              <w:lastRenderedPageBreak/>
              <w:t>一级指标</w:t>
            </w:r>
          </w:p>
        </w:tc>
        <w:tc>
          <w:tcPr>
            <w:tcW w:w="1701" w:type="dxa"/>
            <w:tcFitText/>
            <w:vAlign w:val="center"/>
          </w:tcPr>
          <w:p w:rsidR="00C01DF5" w:rsidRPr="00190DA3" w:rsidRDefault="00C01DF5" w:rsidP="00C01DF5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4"/>
              </w:rPr>
            </w:pPr>
            <w:r w:rsidRPr="002F2E7A">
              <w:rPr>
                <w:rFonts w:ascii="华文仿宋" w:eastAsia="华文仿宋" w:hAnsi="华文仿宋" w:cs="华文仿宋" w:hint="eastAsia"/>
                <w:b/>
                <w:color w:val="000000"/>
                <w:spacing w:val="97"/>
                <w:kern w:val="0"/>
                <w:sz w:val="22"/>
                <w:szCs w:val="24"/>
              </w:rPr>
              <w:t>二级指</w:t>
            </w:r>
            <w:r w:rsidRPr="002F2E7A">
              <w:rPr>
                <w:rFonts w:ascii="华文仿宋" w:eastAsia="华文仿宋" w:hAnsi="华文仿宋" w:cs="华文仿宋" w:hint="eastAsia"/>
                <w:b/>
                <w:color w:val="000000"/>
                <w:spacing w:val="1"/>
                <w:kern w:val="0"/>
                <w:sz w:val="22"/>
                <w:szCs w:val="24"/>
              </w:rPr>
              <w:t>标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4"/>
              </w:rPr>
            </w:pPr>
            <w:r w:rsidRPr="00190DA3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szCs w:val="24"/>
              </w:rPr>
              <w:t>分值</w:t>
            </w:r>
          </w:p>
        </w:tc>
        <w:tc>
          <w:tcPr>
            <w:tcW w:w="2290" w:type="dxa"/>
            <w:vAlign w:val="center"/>
          </w:tcPr>
          <w:p w:rsidR="00C01DF5" w:rsidRPr="00E13092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b/>
                <w:color w:val="000000"/>
                <w:sz w:val="22"/>
                <w:szCs w:val="24"/>
              </w:rPr>
            </w:pPr>
            <w:r w:rsidRPr="00E13092">
              <w:rPr>
                <w:rFonts w:ascii="华文仿宋" w:eastAsia="华文仿宋" w:hAnsi="华文仿宋" w:cs="华文仿宋" w:hint="eastAsia"/>
                <w:b/>
                <w:color w:val="000000"/>
                <w:sz w:val="22"/>
                <w:szCs w:val="24"/>
              </w:rPr>
              <w:t>备注</w:t>
            </w:r>
          </w:p>
        </w:tc>
      </w:tr>
      <w:tr w:rsidR="00C01DF5" w:rsidTr="00C01DF5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C01DF5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团队建设与管理</w:t>
            </w:r>
          </w:p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（15分）</w:t>
            </w: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团队建设规划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2分</w:t>
            </w:r>
          </w:p>
        </w:tc>
        <w:tc>
          <w:tcPr>
            <w:tcW w:w="2290" w:type="dxa"/>
            <w:vMerge w:val="restart"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333333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运行</w:t>
            </w: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机制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2分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层级结构搭配</w:t>
            </w: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合理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3</w:t>
            </w: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成员培养与青年教师成长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6</w:t>
            </w: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跨学院（专业）组建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2分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资源建设</w:t>
            </w:r>
          </w:p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（15分）</w:t>
            </w: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教材建设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5分</w:t>
            </w:r>
          </w:p>
        </w:tc>
        <w:tc>
          <w:tcPr>
            <w:tcW w:w="2290" w:type="dxa"/>
            <w:vMerge w:val="restart"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教学</w:t>
            </w: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方法改革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5分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before="122" w:after="120"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教学</w:t>
            </w:r>
            <w:r>
              <w:rPr>
                <w:rFonts w:ascii="华文仿宋" w:eastAsia="华文仿宋" w:hAnsi="华文仿宋" w:cs="华文仿宋" w:hint="eastAsia"/>
                <w:color w:val="333333"/>
                <w:kern w:val="0"/>
                <w:szCs w:val="21"/>
              </w:rPr>
              <w:t>平台建设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5分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教学研究</w:t>
            </w:r>
          </w:p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333333"/>
                <w:szCs w:val="21"/>
              </w:rPr>
              <w:t>（30分）</w:t>
            </w: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国家级教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研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10分/项</w:t>
            </w:r>
          </w:p>
        </w:tc>
        <w:tc>
          <w:tcPr>
            <w:tcW w:w="2290" w:type="dxa"/>
            <w:vMerge w:val="restart"/>
            <w:vAlign w:val="center"/>
          </w:tcPr>
          <w:p w:rsidR="00C01DF5" w:rsidRDefault="00C01DF5" w:rsidP="00C01DF5">
            <w:r w:rsidRPr="00AC5304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若总分超过30分，按30分计算；团队成员可重复计分。教研项目以立项文件为准（</w:t>
            </w:r>
            <w:r w:rsidRPr="004C2AE0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以专业、实验教学中心、校外实践基地等为平台进行建设的</w:t>
            </w:r>
            <w:r w:rsidRPr="00AC5304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综合类项目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，</w:t>
            </w:r>
            <w:r w:rsidRPr="00AC5304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分值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在</w:t>
            </w:r>
            <w:r w:rsidRPr="00AC5304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此基础上翻倍）。教研论文以论文原件为准。</w:t>
            </w:r>
          </w:p>
        </w:tc>
      </w:tr>
      <w:tr w:rsidR="00C01DF5" w:rsidTr="00C01DF5">
        <w:trPr>
          <w:trHeight w:hRule="exact" w:val="650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省级教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研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402" w:type="dxa"/>
            <w:vAlign w:val="center"/>
          </w:tcPr>
          <w:p w:rsidR="00C01DF5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省级重点7分/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项；</w:t>
            </w:r>
          </w:p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一般5分/项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45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校级教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研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3分/项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1531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333333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教研论文（公开发表）</w:t>
            </w:r>
          </w:p>
        </w:tc>
        <w:tc>
          <w:tcPr>
            <w:tcW w:w="3402" w:type="dxa"/>
            <w:vAlign w:val="center"/>
          </w:tcPr>
          <w:p w:rsidR="00C01DF5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核心期刊3分/篇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一般期刊1分/篇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651"/>
        </w:trPr>
        <w:tc>
          <w:tcPr>
            <w:tcW w:w="1129" w:type="dxa"/>
            <w:vMerge w:val="restart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教学荣誉</w:t>
            </w:r>
          </w:p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20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分）</w:t>
            </w:r>
          </w:p>
        </w:tc>
        <w:tc>
          <w:tcPr>
            <w:tcW w:w="1701" w:type="dxa"/>
            <w:vAlign w:val="center"/>
          </w:tcPr>
          <w:p w:rsidR="00C01DF5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校级教学名师</w:t>
            </w:r>
          </w:p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或沱江教授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5分</w:t>
            </w:r>
          </w:p>
        </w:tc>
        <w:tc>
          <w:tcPr>
            <w:tcW w:w="2290" w:type="dxa"/>
            <w:vMerge w:val="restart"/>
            <w:vAlign w:val="center"/>
          </w:tcPr>
          <w:p w:rsidR="00C01DF5" w:rsidRDefault="00C01DF5" w:rsidP="00C01DF5">
            <w:r w:rsidRPr="00AC5304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以获奖证书或相应文件为准。若总分超过30分，按30分计算</w:t>
            </w:r>
            <w:r>
              <w:rPr>
                <w:rFonts w:hint="eastAsia"/>
              </w:rPr>
              <w:t>。</w:t>
            </w:r>
          </w:p>
        </w:tc>
      </w:tr>
      <w:tr w:rsidR="00C01DF5" w:rsidTr="00C01DF5">
        <w:trPr>
          <w:trHeight w:hRule="exact" w:val="575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教学能手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或教学十佳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994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讲课比赛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省级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一、二、三等奖分别为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5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分、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分、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2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分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；校级</w:t>
            </w: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一、二、三等奖分别为3分、2分、1分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1667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教学成果奖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widowControl/>
              <w:spacing w:line="15" w:lineRule="auto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国家级一、二等奖分别为10分、7分；省级一、二、三等奖每项分别为7分、5分、3分；校级一、二、三等奖每项分别为3分、2分、1分。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652"/>
        </w:trPr>
        <w:tc>
          <w:tcPr>
            <w:tcW w:w="1129" w:type="dxa"/>
            <w:vMerge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优秀论文指导教师、优秀实习指导教师、优秀教师、优秀教育工作者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 w:rsidRPr="00190DA3"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3分/项</w:t>
            </w:r>
          </w:p>
        </w:tc>
        <w:tc>
          <w:tcPr>
            <w:tcW w:w="2290" w:type="dxa"/>
            <w:vMerge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659"/>
        </w:trPr>
        <w:tc>
          <w:tcPr>
            <w:tcW w:w="1129" w:type="dxa"/>
            <w:vMerge w:val="restart"/>
            <w:vAlign w:val="center"/>
          </w:tcPr>
          <w:p w:rsidR="00C01DF5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学科竞赛</w:t>
            </w:r>
          </w:p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（20分）</w:t>
            </w: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国家级及以上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一类国家级一、二、三等奖分别为6分、5分、4分/项</w:t>
            </w:r>
          </w:p>
        </w:tc>
        <w:tc>
          <w:tcPr>
            <w:tcW w:w="2290" w:type="dxa"/>
            <w:vAlign w:val="center"/>
          </w:tcPr>
          <w:p w:rsidR="00C01DF5" w:rsidRDefault="00C01DF5" w:rsidP="00C01DF5"/>
        </w:tc>
      </w:tr>
      <w:tr w:rsidR="00C01DF5" w:rsidTr="00C01DF5">
        <w:trPr>
          <w:trHeight w:hRule="exact" w:val="682"/>
        </w:trPr>
        <w:tc>
          <w:tcPr>
            <w:tcW w:w="1129" w:type="dxa"/>
            <w:vMerge/>
            <w:vAlign w:val="center"/>
          </w:tcPr>
          <w:p w:rsidR="00C01DF5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left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3402" w:type="dxa"/>
            <w:vAlign w:val="center"/>
          </w:tcPr>
          <w:p w:rsidR="00C01DF5" w:rsidRPr="00190DA3" w:rsidRDefault="00C01DF5" w:rsidP="00C01DF5">
            <w:pPr>
              <w:spacing w:line="15" w:lineRule="auto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  <w:lang w:bidi="ar"/>
              </w:rPr>
              <w:t>一类省级一、二、三等奖分别为3分、2分、1分/项</w:t>
            </w:r>
          </w:p>
        </w:tc>
        <w:tc>
          <w:tcPr>
            <w:tcW w:w="2290" w:type="dxa"/>
            <w:vAlign w:val="center"/>
          </w:tcPr>
          <w:p w:rsidR="00C01DF5" w:rsidRDefault="00C01DF5" w:rsidP="00C01DF5"/>
        </w:tc>
      </w:tr>
    </w:tbl>
    <w:p w:rsidR="002F2E7A" w:rsidRPr="002F2E7A" w:rsidRDefault="002F2E7A" w:rsidP="00C01DF5">
      <w:pPr>
        <w:jc w:val="center"/>
        <w:rPr>
          <w:rFonts w:ascii="仿宋_GB2312" w:eastAsia="仿宋_GB2312"/>
          <w:sz w:val="32"/>
          <w:szCs w:val="32"/>
        </w:rPr>
      </w:pPr>
      <w:r w:rsidRPr="002F2E7A">
        <w:rPr>
          <w:rFonts w:ascii="仿宋_GB2312" w:eastAsia="仿宋_GB2312" w:hint="eastAsia"/>
          <w:sz w:val="32"/>
          <w:szCs w:val="32"/>
        </w:rPr>
        <w:t>教学教研团队评价指标体系</w:t>
      </w:r>
    </w:p>
    <w:sectPr w:rsidR="002F2E7A" w:rsidRPr="002F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89" w:rsidRDefault="00297A89" w:rsidP="0076111C">
      <w:r>
        <w:separator/>
      </w:r>
    </w:p>
  </w:endnote>
  <w:endnote w:type="continuationSeparator" w:id="0">
    <w:p w:rsidR="00297A89" w:rsidRDefault="00297A89" w:rsidP="007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89" w:rsidRDefault="00297A89" w:rsidP="0076111C">
      <w:r>
        <w:separator/>
      </w:r>
    </w:p>
  </w:footnote>
  <w:footnote w:type="continuationSeparator" w:id="0">
    <w:p w:rsidR="00297A89" w:rsidRDefault="00297A89" w:rsidP="0076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0C"/>
    <w:rsid w:val="00001767"/>
    <w:rsid w:val="000445C4"/>
    <w:rsid w:val="00087DFC"/>
    <w:rsid w:val="00111578"/>
    <w:rsid w:val="001354F2"/>
    <w:rsid w:val="00141D7F"/>
    <w:rsid w:val="00166637"/>
    <w:rsid w:val="001830CD"/>
    <w:rsid w:val="00190DA3"/>
    <w:rsid w:val="001D6618"/>
    <w:rsid w:val="00276001"/>
    <w:rsid w:val="00297A89"/>
    <w:rsid w:val="002F0CF1"/>
    <w:rsid w:val="002F2E7A"/>
    <w:rsid w:val="00315363"/>
    <w:rsid w:val="00341690"/>
    <w:rsid w:val="00350ABE"/>
    <w:rsid w:val="00352E31"/>
    <w:rsid w:val="00372001"/>
    <w:rsid w:val="00396B99"/>
    <w:rsid w:val="0041419A"/>
    <w:rsid w:val="004146AB"/>
    <w:rsid w:val="00425A02"/>
    <w:rsid w:val="004625EA"/>
    <w:rsid w:val="004D3658"/>
    <w:rsid w:val="004E6C95"/>
    <w:rsid w:val="0052585D"/>
    <w:rsid w:val="0053005A"/>
    <w:rsid w:val="00581F2F"/>
    <w:rsid w:val="0067111A"/>
    <w:rsid w:val="00675700"/>
    <w:rsid w:val="00680276"/>
    <w:rsid w:val="006A4DC5"/>
    <w:rsid w:val="00705B0D"/>
    <w:rsid w:val="0076111C"/>
    <w:rsid w:val="007C4A30"/>
    <w:rsid w:val="00802CE8"/>
    <w:rsid w:val="00810393"/>
    <w:rsid w:val="00813966"/>
    <w:rsid w:val="00901FBA"/>
    <w:rsid w:val="00954FE6"/>
    <w:rsid w:val="0099624A"/>
    <w:rsid w:val="00A53CBB"/>
    <w:rsid w:val="00A60FF4"/>
    <w:rsid w:val="00A970BF"/>
    <w:rsid w:val="00AA7EA2"/>
    <w:rsid w:val="00AC79BB"/>
    <w:rsid w:val="00AF5384"/>
    <w:rsid w:val="00B34244"/>
    <w:rsid w:val="00B6008B"/>
    <w:rsid w:val="00B63668"/>
    <w:rsid w:val="00BC790C"/>
    <w:rsid w:val="00C01DF5"/>
    <w:rsid w:val="00C138B2"/>
    <w:rsid w:val="00C67F85"/>
    <w:rsid w:val="00CA56B2"/>
    <w:rsid w:val="00CC70D3"/>
    <w:rsid w:val="00CD77E0"/>
    <w:rsid w:val="00CF2437"/>
    <w:rsid w:val="00D512D1"/>
    <w:rsid w:val="00DC29C6"/>
    <w:rsid w:val="00DC3661"/>
    <w:rsid w:val="00DC718E"/>
    <w:rsid w:val="00E95E01"/>
    <w:rsid w:val="00EC1B2A"/>
    <w:rsid w:val="00F047A8"/>
    <w:rsid w:val="00F122D2"/>
    <w:rsid w:val="00F15D9B"/>
    <w:rsid w:val="00F3234C"/>
    <w:rsid w:val="00F50ACD"/>
    <w:rsid w:val="00F53975"/>
    <w:rsid w:val="00F93496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4F6731-447D-4903-A952-17846BC6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111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11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57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700"/>
    <w:rPr>
      <w:sz w:val="18"/>
      <w:szCs w:val="18"/>
    </w:rPr>
  </w:style>
  <w:style w:type="table" w:styleId="a7">
    <w:name w:val="Table Grid"/>
    <w:basedOn w:val="a1"/>
    <w:uiPriority w:val="59"/>
    <w:rsid w:val="002F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198</Words>
  <Characters>1134</Characters>
  <Application>Microsoft Office Word</Application>
  <DocSecurity>0</DocSecurity>
  <Lines>9</Lines>
  <Paragraphs>2</Paragraphs>
  <ScaleCrop>false</ScaleCrop>
  <Company>SanKing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周艺</dc:creator>
  <cp:keywords/>
  <dc:description/>
  <cp:lastModifiedBy>敖光辉</cp:lastModifiedBy>
  <cp:revision>9</cp:revision>
  <cp:lastPrinted>2018-07-12T02:39:00Z</cp:lastPrinted>
  <dcterms:created xsi:type="dcterms:W3CDTF">2018-09-17T01:01:00Z</dcterms:created>
  <dcterms:modified xsi:type="dcterms:W3CDTF">2018-11-23T07:44:00Z</dcterms:modified>
</cp:coreProperties>
</file>